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1"/>
          <w:szCs w:val="21"/>
        </w:rPr>
      </w:pPr>
    </w:p>
    <w:p>
      <w:pPr>
        <w:pStyle w:val="Title"/>
        <w:ind w:left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Risk Assessment for outdoor tyres</w:t>
      </w:r>
    </w:p>
    <w:p>
      <w:pPr>
        <w:pStyle w:val="Title"/>
        <w:ind w:left="0"/>
        <w:jc w:val="left"/>
        <w:rPr>
          <w:sz w:val="23"/>
          <w:szCs w:val="23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3771"/>
        <w:gridCol w:w="1449"/>
        <w:gridCol w:w="1433"/>
        <w:gridCol w:w="5410"/>
        <w:gridCol w:w="21"/>
      </w:tblGrid>
      <w:tr>
        <w:trPr>
          <w:gridAfter w:val="1"/>
          <w:wAfter w:w="21" w:type="dxa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Setting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Humberston Cloverfields Foundation Stage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might be harmed?</w:t>
            </w:r>
          </w:p>
          <w:p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</w:t>
            </w:r>
          </w:p>
        </w:tc>
      </w:tr>
      <w:t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Following Control Measures are in Place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 / Med / Low risk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Any further action needed?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36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Bumps from falling off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Falling off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  <w:r>
              <w:rPr>
                <w:rFonts w:ascii="Arial" w:hAnsi="Arial" w:cs="Arial"/>
              </w:rPr>
              <w:t xml:space="preserve"> when bouncing</w:t>
            </w:r>
          </w:p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  <w:r>
              <w:rPr>
                <w:rFonts w:ascii="Arial" w:hAnsi="Arial" w:cs="Arial"/>
              </w:rPr>
              <w:t xml:space="preserve"> slippery when wet or frosty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Tripping over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Bumps and bruises from falling on rough surface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Don’t push other children. Look around &amp; think before you jump across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1 person allowed to bounce on a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  <w:r>
              <w:rPr>
                <w:rFonts w:ascii="Arial" w:hAnsi="Arial" w:cs="Arial"/>
              </w:rPr>
              <w:t xml:space="preserve"> at  a time</w:t>
            </w:r>
          </w:p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Tyre</w:t>
            </w:r>
            <w:proofErr w:type="spellEnd"/>
            <w:r>
              <w:rPr>
                <w:rFonts w:ascii="Arial" w:hAnsi="Arial" w:cs="Arial"/>
              </w:rPr>
              <w:t xml:space="preserve"> park not to be used in wet or frosty weather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Walk, don’t run on the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Walk, don’t run in the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</w:p>
          <w:p>
            <w:pPr>
              <w:spacing w:after="0"/>
              <w:ind w:left="410"/>
              <w:rPr>
                <w:rFonts w:cs="Arial"/>
                <w:sz w:val="22"/>
                <w:szCs w:val="22"/>
              </w:rPr>
            </w:pPr>
          </w:p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below</w:t>
            </w:r>
          </w:p>
        </w:tc>
      </w:tr>
    </w:tbl>
    <w:p>
      <w:pPr>
        <w:pStyle w:val="Header"/>
        <w:tabs>
          <w:tab w:val="left" w:pos="0"/>
        </w:tabs>
        <w:rPr>
          <w:rFonts w:cs="Arial"/>
          <w:sz w:val="22"/>
          <w:szCs w:val="22"/>
        </w:rPr>
      </w:pPr>
    </w:p>
    <w:p>
      <w:pPr>
        <w:pStyle w:val="Header"/>
        <w:tabs>
          <w:tab w:val="left" w:pos="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2057"/>
      </w:tblGrid>
      <w:t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1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Action Needed / Additional Control Measures</w:t>
            </w:r>
          </w:p>
        </w:tc>
      </w:tr>
      <w:t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Choosing and care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tyres</w:t>
            </w:r>
            <w:proofErr w:type="spellEnd"/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Medium risk element</w:t>
            </w:r>
          </w:p>
        </w:tc>
        <w:tc>
          <w:tcPr>
            <w:tcW w:w="1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Only accept or obtain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that are intact. Inspect thoroughly and ensure they have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no piercings (such as a nail going through the wire) and no exposed wires and strips. They have a metal mesh inside and once the rubber wears down this can come loose. Remember to check inside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as well as on the outside surface. Use heavy duty gloves to do this, and continue to check your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on a regular basis for wear and tear. Replace as necessary and promptly as they can very quickly deteriorate and become sharp. Only use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that are in good condition.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Clean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thoroughly using detergent and water. Check that the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surface will not leave black marks on clothing. Some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are softer than others and cause more markings.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you paint your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, use gloss or masonry paint and make sure the surface is clean and dry. Bright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colours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can look a bit garish to consider using pastel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colours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get dirty during play, wash them down with a hosepipe. It’s a lot of fun for children to do this!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Unless your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are covered up, they will collect rainwater! Watch this doesn’t become stagnant and empty out daily.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countries where snakes and spiders exist, then painting the insides white and teaching children to check carefully before using are sensible measures to put in place.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Tyr</w:t>
            </w:r>
            <w:r>
              <w:rPr>
                <w:rFonts w:ascii="Arial" w:eastAsia="Times New Roman" w:hAnsi="Arial" w:cs="Arial"/>
                <w:lang w:eastAsia="en-GB"/>
              </w:rPr>
              <w:t>es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can get very hot on hot days so may need to be put out of action on hot summer days.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should be taught how to behave on the </w:t>
            </w:r>
            <w:proofErr w:type="spellStart"/>
            <w:r>
              <w:rPr>
                <w:rFonts w:ascii="Arial" w:hAnsi="Arial" w:cs="Arial"/>
              </w:rPr>
              <w:t>tyres</w:t>
            </w:r>
            <w:proofErr w:type="spellEnd"/>
            <w:r>
              <w:rPr>
                <w:rFonts w:ascii="Arial" w:hAnsi="Arial" w:cs="Arial"/>
              </w:rPr>
              <w:t xml:space="preserve">, numbers should be limited and poor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addressed according to our staged behavior policy.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44F0"/>
    <w:multiLevelType w:val="hybridMultilevel"/>
    <w:tmpl w:val="F74CA8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52291"/>
    <w:multiLevelType w:val="hybridMultilevel"/>
    <w:tmpl w:val="0EEE3584"/>
    <w:lvl w:ilvl="0" w:tplc="CBD2DF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82A2A"/>
    <w:multiLevelType w:val="multilevel"/>
    <w:tmpl w:val="AD2E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C4DB0"/>
    <w:multiLevelType w:val="hybridMultilevel"/>
    <w:tmpl w:val="4F9C848A"/>
    <w:lvl w:ilvl="0" w:tplc="3704EBF4">
      <w:start w:val="1"/>
      <w:numFmt w:val="bullet"/>
      <w:lvlText w:val=""/>
      <w:lvlJc w:val="left"/>
      <w:pPr>
        <w:tabs>
          <w:tab w:val="num" w:pos="770"/>
        </w:tabs>
        <w:ind w:left="770" w:hanging="360"/>
      </w:pPr>
      <w:rPr>
        <w:rFonts w:ascii="Webdings" w:hAnsi="Web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uiPriority w:val="99"/>
    <w:semiHidden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pPr>
      <w:spacing w:after="0"/>
      <w:ind w:left="-1440"/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erChar1">
    <w:name w:val="Header Char1"/>
    <w:link w:val="Header"/>
    <w:locked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uiPriority w:val="99"/>
    <w:semiHidden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pPr>
      <w:spacing w:after="0"/>
      <w:ind w:left="-1440"/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erChar1">
    <w:name w:val="Header Char1"/>
    <w:link w:val="Header"/>
    <w:locked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sprucec</dc:creator>
  <cp:lastModifiedBy>sprucec</cp:lastModifiedBy>
  <cp:revision>5</cp:revision>
  <dcterms:created xsi:type="dcterms:W3CDTF">2016-10-14T05:31:00Z</dcterms:created>
  <dcterms:modified xsi:type="dcterms:W3CDTF">2016-10-14T05:46:00Z</dcterms:modified>
</cp:coreProperties>
</file>